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B9" w:rsidRDefault="006D66B9">
      <w:pPr>
        <w:rPr>
          <w:sz w:val="24"/>
          <w:szCs w:val="24"/>
        </w:rPr>
      </w:pPr>
      <w:r>
        <w:rPr>
          <w:sz w:val="24"/>
          <w:szCs w:val="24"/>
        </w:rPr>
        <w:t xml:space="preserve">Appendix </w:t>
      </w:r>
      <w:r w:rsidR="00847BE3">
        <w:rPr>
          <w:sz w:val="24"/>
          <w:szCs w:val="24"/>
        </w:rPr>
        <w:t>P</w:t>
      </w:r>
    </w:p>
    <w:p w:rsidR="006D66B9" w:rsidRPr="006D66B9" w:rsidRDefault="00467127" w:rsidP="006D66B9">
      <w:pPr>
        <w:pStyle w:val="Heading2"/>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The Lunch Lady – Culminating Activities</w:t>
      </w:r>
    </w:p>
    <w:p w:rsidR="006D66B9" w:rsidRDefault="00452AC9" w:rsidP="006D66B9">
      <w:pPr>
        <w:pBdr>
          <w:top w:val="single" w:sz="4" w:space="1" w:color="auto"/>
          <w:left w:val="single" w:sz="4" w:space="4" w:color="auto"/>
          <w:bottom w:val="single" w:sz="4" w:space="1" w:color="auto"/>
          <w:right w:val="single" w:sz="4" w:space="4" w:color="auto"/>
        </w:pBdr>
        <w:jc w:val="center"/>
        <w:rPr>
          <w:b/>
          <w:sz w:val="24"/>
          <w:szCs w:val="24"/>
        </w:rPr>
      </w:pPr>
      <w:hyperlink r:id="rId5" w:history="1">
        <w:r w:rsidR="006D66B9" w:rsidRPr="002406CC">
          <w:rPr>
            <w:rStyle w:val="Hyperlink"/>
            <w:b/>
            <w:sz w:val="24"/>
            <w:szCs w:val="24"/>
          </w:rPr>
          <w:t>http://www.thelunchlady.ca/</w:t>
        </w:r>
      </w:hyperlink>
    </w:p>
    <w:p w:rsidR="006D66B9" w:rsidRPr="006D66B9" w:rsidRDefault="006D66B9" w:rsidP="006D66B9">
      <w:pPr>
        <w:pBdr>
          <w:top w:val="single" w:sz="4" w:space="1" w:color="auto"/>
          <w:left w:val="single" w:sz="4" w:space="4" w:color="auto"/>
          <w:bottom w:val="single" w:sz="4" w:space="1" w:color="auto"/>
          <w:right w:val="single" w:sz="4" w:space="4" w:color="auto"/>
        </w:pBdr>
        <w:jc w:val="center"/>
        <w:rPr>
          <w:b/>
          <w:sz w:val="24"/>
          <w:szCs w:val="24"/>
        </w:rPr>
      </w:pPr>
    </w:p>
    <w:p w:rsidR="006D66B9" w:rsidRPr="00E8255C" w:rsidRDefault="006D66B9" w:rsidP="006D66B9">
      <w:pPr>
        <w:pBdr>
          <w:top w:val="single" w:sz="4" w:space="1" w:color="auto"/>
          <w:left w:val="single" w:sz="4" w:space="4" w:color="auto"/>
          <w:bottom w:val="single" w:sz="4" w:space="1" w:color="auto"/>
          <w:right w:val="single" w:sz="4" w:space="4" w:color="auto"/>
        </w:pBdr>
        <w:rPr>
          <w:sz w:val="24"/>
          <w:szCs w:val="24"/>
        </w:rPr>
      </w:pPr>
      <w:r w:rsidRPr="00E8255C">
        <w:rPr>
          <w:sz w:val="24"/>
          <w:szCs w:val="24"/>
        </w:rPr>
        <w:t xml:space="preserve">The lunch lady is a company that provides a prepaid lunch service to schools. Many busy </w:t>
      </w:r>
      <w:proofErr w:type="gramStart"/>
      <w:r w:rsidRPr="00E8255C">
        <w:rPr>
          <w:sz w:val="24"/>
          <w:szCs w:val="24"/>
        </w:rPr>
        <w:t>families</w:t>
      </w:r>
      <w:proofErr w:type="gramEnd"/>
      <w:r w:rsidRPr="00E8255C">
        <w:rPr>
          <w:sz w:val="24"/>
          <w:szCs w:val="24"/>
        </w:rPr>
        <w:t xml:space="preserve"> </w:t>
      </w:r>
      <w:proofErr w:type="spellStart"/>
      <w:r w:rsidRPr="00E8255C">
        <w:rPr>
          <w:sz w:val="24"/>
          <w:szCs w:val="24"/>
        </w:rPr>
        <w:t>utlilize</w:t>
      </w:r>
      <w:proofErr w:type="spellEnd"/>
      <w:r>
        <w:rPr>
          <w:sz w:val="24"/>
          <w:szCs w:val="24"/>
        </w:rPr>
        <w:t xml:space="preserve"> </w:t>
      </w:r>
      <w:r w:rsidRPr="00E8255C">
        <w:rPr>
          <w:sz w:val="24"/>
          <w:szCs w:val="24"/>
        </w:rPr>
        <w:t>this device in</w:t>
      </w:r>
      <w:r>
        <w:rPr>
          <w:sz w:val="24"/>
          <w:szCs w:val="24"/>
        </w:rPr>
        <w:t xml:space="preserve"> </w:t>
      </w:r>
      <w:r w:rsidRPr="00E8255C">
        <w:rPr>
          <w:sz w:val="24"/>
          <w:szCs w:val="24"/>
        </w:rPr>
        <w:t>co</w:t>
      </w:r>
      <w:r>
        <w:rPr>
          <w:sz w:val="24"/>
          <w:szCs w:val="24"/>
        </w:rPr>
        <w:t xml:space="preserve">mmunities across Ontario.  The </w:t>
      </w:r>
      <w:r w:rsidRPr="00E8255C">
        <w:rPr>
          <w:sz w:val="24"/>
          <w:szCs w:val="24"/>
        </w:rPr>
        <w:t xml:space="preserve">Lunch lady complies with </w:t>
      </w:r>
      <w:r>
        <w:rPr>
          <w:sz w:val="24"/>
          <w:szCs w:val="24"/>
        </w:rPr>
        <w:t>PPM150, T</w:t>
      </w:r>
      <w:r w:rsidRPr="00E8255C">
        <w:rPr>
          <w:sz w:val="24"/>
          <w:szCs w:val="24"/>
        </w:rPr>
        <w:t>he</w:t>
      </w:r>
      <w:r>
        <w:rPr>
          <w:sz w:val="24"/>
          <w:szCs w:val="24"/>
        </w:rPr>
        <w:t xml:space="preserve"> </w:t>
      </w:r>
      <w:r w:rsidRPr="00E8255C">
        <w:rPr>
          <w:sz w:val="24"/>
          <w:szCs w:val="24"/>
        </w:rPr>
        <w:t>Food and</w:t>
      </w:r>
      <w:r>
        <w:rPr>
          <w:sz w:val="24"/>
          <w:szCs w:val="24"/>
        </w:rPr>
        <w:t xml:space="preserve"> B</w:t>
      </w:r>
      <w:r w:rsidRPr="00E8255C">
        <w:rPr>
          <w:sz w:val="24"/>
          <w:szCs w:val="24"/>
        </w:rPr>
        <w:t xml:space="preserve">everage </w:t>
      </w:r>
      <w:r>
        <w:rPr>
          <w:sz w:val="24"/>
          <w:szCs w:val="24"/>
        </w:rPr>
        <w:t>P</w:t>
      </w:r>
      <w:r w:rsidRPr="00E8255C">
        <w:rPr>
          <w:sz w:val="24"/>
          <w:szCs w:val="24"/>
        </w:rPr>
        <w:t xml:space="preserve">olicy, and </w:t>
      </w:r>
      <w:r>
        <w:rPr>
          <w:sz w:val="24"/>
          <w:szCs w:val="24"/>
        </w:rPr>
        <w:t xml:space="preserve">therefore </w:t>
      </w:r>
      <w:r w:rsidRPr="00E8255C">
        <w:rPr>
          <w:sz w:val="24"/>
          <w:szCs w:val="24"/>
        </w:rPr>
        <w:t xml:space="preserve">offers healthy alternatives to traditional lunch menus. </w:t>
      </w:r>
    </w:p>
    <w:p w:rsidR="006D66B9" w:rsidRDefault="006D66B9">
      <w:pPr>
        <w:rPr>
          <w:sz w:val="24"/>
          <w:szCs w:val="24"/>
        </w:rPr>
      </w:pPr>
    </w:p>
    <w:p w:rsidR="006D66B9" w:rsidRDefault="006D66B9">
      <w:pPr>
        <w:rPr>
          <w:sz w:val="24"/>
          <w:szCs w:val="24"/>
        </w:rPr>
      </w:pPr>
      <w:r w:rsidRPr="00815241">
        <w:rPr>
          <w:rFonts w:ascii="Arial" w:hAnsi="Arial" w:cs="Arial"/>
          <w:b/>
          <w:sz w:val="24"/>
          <w:szCs w:val="24"/>
        </w:rPr>
        <w:t>Learning Goal</w:t>
      </w:r>
      <w:r>
        <w:rPr>
          <w:sz w:val="24"/>
          <w:szCs w:val="24"/>
        </w:rPr>
        <w:t>:   Students will apply their nutrition knowledge and awareness of PPM150 to complete one of the following culminating activities.</w:t>
      </w:r>
    </w:p>
    <w:p w:rsidR="006D66B9" w:rsidRDefault="006D66B9">
      <w:pPr>
        <w:rPr>
          <w:sz w:val="24"/>
          <w:szCs w:val="24"/>
        </w:rPr>
      </w:pPr>
    </w:p>
    <w:p w:rsidR="00467127" w:rsidRDefault="00467127">
      <w:pPr>
        <w:rPr>
          <w:sz w:val="24"/>
          <w:szCs w:val="24"/>
        </w:rPr>
      </w:pPr>
    </w:p>
    <w:p w:rsidR="006D66B9" w:rsidRPr="00467127" w:rsidRDefault="006D66B9">
      <w:pPr>
        <w:rPr>
          <w:rFonts w:ascii="Arial" w:hAnsi="Arial" w:cs="Arial"/>
          <w:b/>
          <w:sz w:val="24"/>
          <w:szCs w:val="24"/>
        </w:rPr>
      </w:pPr>
      <w:r w:rsidRPr="006D66B9">
        <w:rPr>
          <w:rFonts w:ascii="Arial" w:hAnsi="Arial" w:cs="Arial"/>
          <w:b/>
          <w:sz w:val="24"/>
          <w:szCs w:val="24"/>
        </w:rPr>
        <w:t>Option 1</w:t>
      </w:r>
      <w:r w:rsidR="00FD79E2">
        <w:rPr>
          <w:rFonts w:ascii="Arial" w:hAnsi="Arial" w:cs="Arial"/>
          <w:b/>
          <w:sz w:val="24"/>
          <w:szCs w:val="24"/>
        </w:rPr>
        <w:t>a</w:t>
      </w:r>
      <w:r>
        <w:rPr>
          <w:rFonts w:ascii="Arial" w:hAnsi="Arial" w:cs="Arial"/>
          <w:b/>
          <w:sz w:val="24"/>
          <w:szCs w:val="24"/>
        </w:rPr>
        <w:t xml:space="preserve">:  </w:t>
      </w:r>
      <w:r w:rsidRPr="006D66B9">
        <w:rPr>
          <w:rFonts w:ascii="Arial" w:hAnsi="Arial" w:cs="Arial"/>
          <w:b/>
          <w:sz w:val="24"/>
          <w:szCs w:val="24"/>
        </w:rPr>
        <w:t>Organic v</w:t>
      </w:r>
      <w:r w:rsidR="00FD79E2">
        <w:rPr>
          <w:rFonts w:ascii="Arial" w:hAnsi="Arial" w:cs="Arial"/>
          <w:b/>
          <w:sz w:val="24"/>
          <w:szCs w:val="24"/>
        </w:rPr>
        <w:t>ersus I</w:t>
      </w:r>
      <w:r w:rsidRPr="006D66B9">
        <w:rPr>
          <w:rFonts w:ascii="Arial" w:hAnsi="Arial" w:cs="Arial"/>
          <w:b/>
          <w:sz w:val="24"/>
          <w:szCs w:val="24"/>
        </w:rPr>
        <w:t xml:space="preserve">norganic </w:t>
      </w:r>
    </w:p>
    <w:p w:rsidR="00467127" w:rsidRDefault="006D66B9">
      <w:pPr>
        <w:rPr>
          <w:sz w:val="24"/>
          <w:szCs w:val="24"/>
        </w:rPr>
      </w:pPr>
      <w:r>
        <w:rPr>
          <w:sz w:val="24"/>
          <w:szCs w:val="24"/>
        </w:rPr>
        <w:t>The Lunch L</w:t>
      </w:r>
      <w:r w:rsidRPr="00E8255C">
        <w:rPr>
          <w:sz w:val="24"/>
          <w:szCs w:val="24"/>
        </w:rPr>
        <w:t xml:space="preserve">ady is looking for menu suggestions for the new school year. She has considered using more organic foods but is uncertain whether it would be beneficial to her customers and business.  </w:t>
      </w:r>
    </w:p>
    <w:p w:rsidR="00467127" w:rsidRDefault="00467127">
      <w:pPr>
        <w:rPr>
          <w:sz w:val="24"/>
          <w:szCs w:val="24"/>
        </w:rPr>
      </w:pPr>
    </w:p>
    <w:p w:rsidR="006D66B9" w:rsidRDefault="006D66B9">
      <w:pPr>
        <w:rPr>
          <w:sz w:val="24"/>
          <w:szCs w:val="24"/>
        </w:rPr>
      </w:pPr>
      <w:r w:rsidRPr="00E8255C">
        <w:rPr>
          <w:sz w:val="24"/>
          <w:szCs w:val="24"/>
        </w:rPr>
        <w:t xml:space="preserve">Create a table to outline the advantages </w:t>
      </w:r>
      <w:r>
        <w:rPr>
          <w:sz w:val="24"/>
          <w:szCs w:val="24"/>
        </w:rPr>
        <w:t xml:space="preserve">of </w:t>
      </w:r>
      <w:r w:rsidRPr="00E8255C">
        <w:rPr>
          <w:sz w:val="24"/>
          <w:szCs w:val="24"/>
        </w:rPr>
        <w:t>organic versus inorganic</w:t>
      </w:r>
      <w:r>
        <w:rPr>
          <w:sz w:val="24"/>
          <w:szCs w:val="24"/>
        </w:rPr>
        <w:t xml:space="preserve"> products</w:t>
      </w:r>
      <w:r w:rsidRPr="00E8255C">
        <w:rPr>
          <w:sz w:val="24"/>
          <w:szCs w:val="24"/>
        </w:rPr>
        <w:t>.</w:t>
      </w:r>
      <w:r w:rsidR="00467127">
        <w:rPr>
          <w:sz w:val="24"/>
          <w:szCs w:val="24"/>
        </w:rPr>
        <w:t xml:space="preserve">  </w:t>
      </w:r>
    </w:p>
    <w:p w:rsidR="00467127" w:rsidRDefault="00467127">
      <w:pPr>
        <w:rPr>
          <w:sz w:val="24"/>
          <w:szCs w:val="24"/>
        </w:rPr>
      </w:pPr>
      <w:r>
        <w:rPr>
          <w:sz w:val="24"/>
          <w:szCs w:val="24"/>
        </w:rPr>
        <w:t xml:space="preserve">Create a school lunch menu that is </w:t>
      </w:r>
      <w:r>
        <w:rPr>
          <w:sz w:val="24"/>
          <w:szCs w:val="24"/>
        </w:rPr>
        <w:tab/>
        <w:t xml:space="preserve">a) 100% completely organic </w:t>
      </w:r>
      <w:r w:rsidRPr="00467127">
        <w:rPr>
          <w:sz w:val="24"/>
          <w:szCs w:val="24"/>
          <w:u w:val="single"/>
        </w:rPr>
        <w:t xml:space="preserve">and </w:t>
      </w:r>
    </w:p>
    <w:p w:rsidR="006D66B9" w:rsidRDefault="00467127">
      <w:pPr>
        <w:rPr>
          <w:sz w:val="24"/>
          <w:szCs w:val="24"/>
        </w:rPr>
      </w:pPr>
      <w:r>
        <w:rPr>
          <w:sz w:val="24"/>
          <w:szCs w:val="24"/>
        </w:rPr>
        <w:tab/>
      </w:r>
      <w:r>
        <w:rPr>
          <w:sz w:val="24"/>
          <w:szCs w:val="24"/>
        </w:rPr>
        <w:tab/>
      </w:r>
      <w:r>
        <w:rPr>
          <w:sz w:val="24"/>
          <w:szCs w:val="24"/>
        </w:rPr>
        <w:tab/>
      </w:r>
      <w:r>
        <w:rPr>
          <w:sz w:val="24"/>
          <w:szCs w:val="24"/>
        </w:rPr>
        <w:tab/>
      </w:r>
      <w:r>
        <w:rPr>
          <w:sz w:val="24"/>
          <w:szCs w:val="24"/>
        </w:rPr>
        <w:tab/>
        <w:t>b) PPM150-friendly</w:t>
      </w:r>
    </w:p>
    <w:p w:rsidR="00467127" w:rsidRDefault="00467127">
      <w:pPr>
        <w:rPr>
          <w:sz w:val="24"/>
          <w:szCs w:val="24"/>
        </w:rPr>
      </w:pPr>
    </w:p>
    <w:p w:rsidR="00467127" w:rsidRPr="00E8255C" w:rsidRDefault="00467127">
      <w:pPr>
        <w:rPr>
          <w:sz w:val="24"/>
          <w:szCs w:val="24"/>
        </w:rPr>
      </w:pPr>
    </w:p>
    <w:p w:rsidR="00FD79E2" w:rsidRDefault="00FD79E2">
      <w:pPr>
        <w:rPr>
          <w:sz w:val="24"/>
          <w:szCs w:val="24"/>
        </w:rPr>
      </w:pPr>
      <w:r>
        <w:rPr>
          <w:rFonts w:ascii="Arial" w:hAnsi="Arial" w:cs="Arial"/>
          <w:b/>
          <w:sz w:val="24"/>
          <w:szCs w:val="24"/>
        </w:rPr>
        <w:t xml:space="preserve">Option 2:  </w:t>
      </w:r>
      <w:r w:rsidR="006D66B9" w:rsidRPr="00FD79E2">
        <w:rPr>
          <w:rFonts w:ascii="Arial" w:hAnsi="Arial" w:cs="Arial"/>
          <w:b/>
          <w:sz w:val="24"/>
          <w:szCs w:val="24"/>
        </w:rPr>
        <w:t xml:space="preserve"> Aller</w:t>
      </w:r>
      <w:r>
        <w:rPr>
          <w:rFonts w:ascii="Arial" w:hAnsi="Arial" w:cs="Arial"/>
          <w:b/>
          <w:sz w:val="24"/>
          <w:szCs w:val="24"/>
        </w:rPr>
        <w:t xml:space="preserve">gy/ Food Sensitivity </w:t>
      </w:r>
      <w:r w:rsidR="00815241">
        <w:rPr>
          <w:rFonts w:ascii="Arial" w:hAnsi="Arial" w:cs="Arial"/>
          <w:b/>
          <w:sz w:val="24"/>
          <w:szCs w:val="24"/>
        </w:rPr>
        <w:t xml:space="preserve">Recipe </w:t>
      </w:r>
      <w:r>
        <w:rPr>
          <w:rFonts w:ascii="Arial" w:hAnsi="Arial" w:cs="Arial"/>
          <w:b/>
          <w:sz w:val="24"/>
          <w:szCs w:val="24"/>
        </w:rPr>
        <w:t>M</w:t>
      </w:r>
      <w:r w:rsidR="006D66B9" w:rsidRPr="00FD79E2">
        <w:rPr>
          <w:rFonts w:ascii="Arial" w:hAnsi="Arial" w:cs="Arial"/>
          <w:b/>
          <w:sz w:val="24"/>
          <w:szCs w:val="24"/>
        </w:rPr>
        <w:t>akeover</w:t>
      </w:r>
      <w:r w:rsidR="006D66B9" w:rsidRPr="00E8255C">
        <w:rPr>
          <w:sz w:val="24"/>
          <w:szCs w:val="24"/>
        </w:rPr>
        <w:t xml:space="preserve">. </w:t>
      </w:r>
    </w:p>
    <w:p w:rsidR="001D0971" w:rsidRPr="00815241" w:rsidRDefault="001D0971" w:rsidP="00815241">
      <w:pPr>
        <w:pStyle w:val="NoSpacing"/>
        <w:rPr>
          <w:sz w:val="22"/>
          <w:szCs w:val="22"/>
        </w:rPr>
      </w:pPr>
      <w:r w:rsidRPr="00815241">
        <w:rPr>
          <w:sz w:val="22"/>
          <w:szCs w:val="22"/>
        </w:rPr>
        <w:t xml:space="preserve">Canada's new food allergen labelling regulations come into force on </w:t>
      </w:r>
      <w:r w:rsidRPr="00815241">
        <w:rPr>
          <w:rStyle w:val="Strong"/>
          <w:rFonts w:eastAsiaTheme="majorEastAsia"/>
          <w:b w:val="0"/>
          <w:sz w:val="22"/>
          <w:szCs w:val="22"/>
        </w:rPr>
        <w:t xml:space="preserve">August 4, 2012.  </w:t>
      </w:r>
      <w:r w:rsidRPr="00815241">
        <w:rPr>
          <w:sz w:val="22"/>
          <w:szCs w:val="22"/>
        </w:rPr>
        <w:t>The Lunch L</w:t>
      </w:r>
      <w:r w:rsidR="006D66B9" w:rsidRPr="00815241">
        <w:rPr>
          <w:sz w:val="22"/>
          <w:szCs w:val="22"/>
        </w:rPr>
        <w:t>ady has seen an increase i</w:t>
      </w:r>
      <w:r w:rsidR="00FD79E2" w:rsidRPr="00815241">
        <w:rPr>
          <w:sz w:val="22"/>
          <w:szCs w:val="22"/>
        </w:rPr>
        <w:t>n demand for products that a</w:t>
      </w:r>
      <w:r w:rsidR="006D66B9" w:rsidRPr="00815241">
        <w:rPr>
          <w:sz w:val="22"/>
          <w:szCs w:val="22"/>
        </w:rPr>
        <w:t>ddress individual food</w:t>
      </w:r>
      <w:r w:rsidR="00FD79E2" w:rsidRPr="00815241">
        <w:rPr>
          <w:sz w:val="22"/>
          <w:szCs w:val="22"/>
        </w:rPr>
        <w:t xml:space="preserve"> sensitivities and allergies.  </w:t>
      </w:r>
    </w:p>
    <w:p w:rsidR="00815241" w:rsidRPr="00815241" w:rsidRDefault="00815241" w:rsidP="00815241">
      <w:pPr>
        <w:numPr>
          <w:ilvl w:val="0"/>
          <w:numId w:val="1"/>
        </w:numPr>
        <w:rPr>
          <w:sz w:val="24"/>
          <w:szCs w:val="24"/>
        </w:rPr>
      </w:pPr>
      <w:r>
        <w:rPr>
          <w:sz w:val="22"/>
          <w:szCs w:val="22"/>
        </w:rPr>
        <w:t xml:space="preserve">A food </w:t>
      </w:r>
      <w:r w:rsidRPr="00815241">
        <w:rPr>
          <w:sz w:val="22"/>
          <w:szCs w:val="22"/>
          <w:u w:val="single"/>
        </w:rPr>
        <w:t>allergy</w:t>
      </w:r>
      <w:r>
        <w:rPr>
          <w:sz w:val="22"/>
          <w:szCs w:val="22"/>
        </w:rPr>
        <w:t xml:space="preserve"> causes </w:t>
      </w:r>
      <w:r w:rsidRPr="00FD79E2">
        <w:rPr>
          <w:b/>
          <w:sz w:val="22"/>
          <w:szCs w:val="22"/>
        </w:rPr>
        <w:t>an immediate reaction</w:t>
      </w:r>
      <w:r>
        <w:rPr>
          <w:sz w:val="22"/>
          <w:szCs w:val="22"/>
        </w:rPr>
        <w:t xml:space="preserve">.  </w:t>
      </w:r>
    </w:p>
    <w:p w:rsidR="00FD79E2" w:rsidRPr="001D0971" w:rsidRDefault="00FD79E2" w:rsidP="00815241">
      <w:pPr>
        <w:pStyle w:val="NoSpacing"/>
        <w:numPr>
          <w:ilvl w:val="0"/>
          <w:numId w:val="1"/>
        </w:numPr>
        <w:rPr>
          <w:sz w:val="24"/>
          <w:szCs w:val="24"/>
        </w:rPr>
      </w:pPr>
      <w:proofErr w:type="gramStart"/>
      <w:r>
        <w:rPr>
          <w:sz w:val="24"/>
          <w:szCs w:val="24"/>
        </w:rPr>
        <w:t xml:space="preserve">A </w:t>
      </w:r>
      <w:r w:rsidR="006D66B9" w:rsidRPr="00E8255C">
        <w:rPr>
          <w:sz w:val="24"/>
          <w:szCs w:val="24"/>
        </w:rPr>
        <w:t>food</w:t>
      </w:r>
      <w:proofErr w:type="gramEnd"/>
      <w:r w:rsidR="006D66B9" w:rsidRPr="00E8255C">
        <w:rPr>
          <w:sz w:val="24"/>
          <w:szCs w:val="24"/>
        </w:rPr>
        <w:t xml:space="preserve"> </w:t>
      </w:r>
      <w:r w:rsidR="006D66B9" w:rsidRPr="00815241">
        <w:rPr>
          <w:sz w:val="24"/>
          <w:szCs w:val="24"/>
          <w:u w:val="single"/>
        </w:rPr>
        <w:t>sensitivity</w:t>
      </w:r>
      <w:r w:rsidR="006D66B9" w:rsidRPr="00E8255C">
        <w:rPr>
          <w:sz w:val="24"/>
          <w:szCs w:val="24"/>
        </w:rPr>
        <w:t xml:space="preserve"> </w:t>
      </w:r>
      <w:r>
        <w:rPr>
          <w:sz w:val="24"/>
          <w:szCs w:val="24"/>
        </w:rPr>
        <w:t xml:space="preserve">causes </w:t>
      </w:r>
      <w:r w:rsidRPr="00FD79E2">
        <w:rPr>
          <w:rStyle w:val="Strong"/>
          <w:rFonts w:eastAsiaTheme="majorEastAsia"/>
          <w:sz w:val="22"/>
          <w:szCs w:val="22"/>
        </w:rPr>
        <w:t>a delayed reaction</w:t>
      </w:r>
      <w:r w:rsidRPr="00FD79E2">
        <w:t xml:space="preserve"> where it may take up to 3-7 days for your body to feel the effects.</w:t>
      </w:r>
    </w:p>
    <w:p w:rsidR="001D0971" w:rsidRPr="00815241" w:rsidRDefault="001D0971" w:rsidP="00815241">
      <w:pPr>
        <w:pStyle w:val="NoSpacing"/>
        <w:numPr>
          <w:ilvl w:val="0"/>
          <w:numId w:val="1"/>
        </w:numPr>
        <w:rPr>
          <w:sz w:val="22"/>
          <w:szCs w:val="22"/>
        </w:rPr>
      </w:pPr>
      <w:proofErr w:type="gramStart"/>
      <w:r w:rsidRPr="00815241">
        <w:rPr>
          <w:rStyle w:val="Strong"/>
          <w:rFonts w:eastAsiaTheme="majorEastAsia"/>
          <w:b w:val="0"/>
          <w:sz w:val="22"/>
          <w:szCs w:val="22"/>
        </w:rPr>
        <w:t>A food</w:t>
      </w:r>
      <w:proofErr w:type="gramEnd"/>
      <w:r w:rsidRPr="00815241">
        <w:rPr>
          <w:rStyle w:val="Strong"/>
          <w:rFonts w:eastAsiaTheme="majorEastAsia"/>
          <w:b w:val="0"/>
          <w:sz w:val="22"/>
          <w:szCs w:val="22"/>
        </w:rPr>
        <w:t xml:space="preserve"> </w:t>
      </w:r>
      <w:r w:rsidRPr="00815241">
        <w:rPr>
          <w:rStyle w:val="Strong"/>
          <w:rFonts w:eastAsiaTheme="majorEastAsia"/>
          <w:b w:val="0"/>
          <w:sz w:val="22"/>
          <w:szCs w:val="22"/>
          <w:u w:val="single"/>
        </w:rPr>
        <w:t>intolerance</w:t>
      </w:r>
      <w:r w:rsidRPr="00815241">
        <w:t xml:space="preserve"> </w:t>
      </w:r>
      <w:r w:rsidRPr="00815241">
        <w:rPr>
          <w:sz w:val="22"/>
          <w:szCs w:val="22"/>
        </w:rPr>
        <w:t xml:space="preserve">is a food sensitivity that </w:t>
      </w:r>
      <w:r w:rsidRPr="00815241">
        <w:rPr>
          <w:b/>
          <w:sz w:val="22"/>
          <w:szCs w:val="22"/>
        </w:rPr>
        <w:t>does not involve the individual's immune system</w:t>
      </w:r>
      <w:r w:rsidRPr="00815241">
        <w:rPr>
          <w:sz w:val="22"/>
          <w:szCs w:val="22"/>
        </w:rPr>
        <w:t>. Unlike food allergies, or chemical sensitivities, where a small amount of food can cause a reaction, it generally takes a more normal sized portion to produce symptoms of food intolerance.</w:t>
      </w:r>
    </w:p>
    <w:p w:rsidR="00FD79E2" w:rsidRPr="00815241" w:rsidRDefault="00FD79E2">
      <w:pPr>
        <w:rPr>
          <w:sz w:val="22"/>
          <w:szCs w:val="22"/>
        </w:rPr>
      </w:pPr>
    </w:p>
    <w:p w:rsidR="006D66B9" w:rsidRDefault="00FD79E2">
      <w:pPr>
        <w:rPr>
          <w:sz w:val="24"/>
          <w:szCs w:val="24"/>
        </w:rPr>
      </w:pPr>
      <w:r>
        <w:rPr>
          <w:sz w:val="24"/>
          <w:szCs w:val="24"/>
        </w:rPr>
        <w:t xml:space="preserve">Create a table (see below) to </w:t>
      </w:r>
      <w:r w:rsidR="00815241">
        <w:rPr>
          <w:sz w:val="24"/>
          <w:szCs w:val="24"/>
        </w:rPr>
        <w:t xml:space="preserve">outline three different allergens or items that stimulate </w:t>
      </w:r>
      <w:proofErr w:type="gramStart"/>
      <w:r w:rsidR="00815241">
        <w:rPr>
          <w:sz w:val="24"/>
          <w:szCs w:val="24"/>
        </w:rPr>
        <w:t>an</w:t>
      </w:r>
      <w:proofErr w:type="gramEnd"/>
      <w:r w:rsidR="00815241">
        <w:rPr>
          <w:sz w:val="24"/>
          <w:szCs w:val="24"/>
        </w:rPr>
        <w:t xml:space="preserve"> food reaction</w:t>
      </w:r>
      <w:r>
        <w:rPr>
          <w:sz w:val="24"/>
          <w:szCs w:val="24"/>
        </w:rPr>
        <w:t xml:space="preserve">. Provide two examples of foods or </w:t>
      </w:r>
      <w:r w:rsidR="006D66B9" w:rsidRPr="00E8255C">
        <w:rPr>
          <w:sz w:val="24"/>
          <w:szCs w:val="24"/>
        </w:rPr>
        <w:t>beverages that c</w:t>
      </w:r>
      <w:r>
        <w:rPr>
          <w:sz w:val="24"/>
          <w:szCs w:val="24"/>
        </w:rPr>
        <w:t xml:space="preserve">ontain the allergic ingredient and two examples of similar foods or beverages that the Lunch Lady could use instead to avoid a reaction.  </w:t>
      </w:r>
      <w:r w:rsidR="006D66B9" w:rsidRPr="00E8255C">
        <w:rPr>
          <w:sz w:val="24"/>
          <w:szCs w:val="24"/>
        </w:rPr>
        <w:t>Keep in mind, the altern</w:t>
      </w:r>
      <w:r>
        <w:rPr>
          <w:sz w:val="24"/>
          <w:szCs w:val="24"/>
        </w:rPr>
        <w:t>ative must still comply with PPM</w:t>
      </w:r>
      <w:r w:rsidR="006D66B9" w:rsidRPr="00E8255C">
        <w:rPr>
          <w:sz w:val="24"/>
          <w:szCs w:val="24"/>
        </w:rPr>
        <w:t xml:space="preserve">150. </w:t>
      </w:r>
    </w:p>
    <w:p w:rsidR="00FD79E2" w:rsidRDefault="00FD79E2">
      <w:pPr>
        <w:rPr>
          <w:sz w:val="24"/>
          <w:szCs w:val="24"/>
        </w:rPr>
      </w:pPr>
    </w:p>
    <w:tbl>
      <w:tblPr>
        <w:tblStyle w:val="TableGrid"/>
        <w:tblW w:w="0" w:type="auto"/>
        <w:tblLook w:val="04A0"/>
      </w:tblPr>
      <w:tblGrid>
        <w:gridCol w:w="2518"/>
        <w:gridCol w:w="3866"/>
        <w:gridCol w:w="3192"/>
      </w:tblGrid>
      <w:tr w:rsidR="00FD79E2" w:rsidTr="00FD79E2">
        <w:tc>
          <w:tcPr>
            <w:tcW w:w="2518" w:type="dxa"/>
          </w:tcPr>
          <w:p w:rsidR="00FD79E2" w:rsidRPr="00FD79E2" w:rsidRDefault="00FD79E2" w:rsidP="00FD79E2">
            <w:pPr>
              <w:pStyle w:val="NoSpacing"/>
              <w:jc w:val="center"/>
              <w:rPr>
                <w:szCs w:val="24"/>
              </w:rPr>
            </w:pPr>
            <w:r w:rsidRPr="00FD79E2">
              <w:rPr>
                <w:szCs w:val="24"/>
              </w:rPr>
              <w:t>Food Sensitivity/Allergen</w:t>
            </w:r>
          </w:p>
        </w:tc>
        <w:tc>
          <w:tcPr>
            <w:tcW w:w="3866" w:type="dxa"/>
          </w:tcPr>
          <w:p w:rsidR="00FD79E2" w:rsidRPr="00FD79E2" w:rsidRDefault="00FD79E2" w:rsidP="00FD79E2">
            <w:pPr>
              <w:pStyle w:val="NoSpacing"/>
              <w:jc w:val="center"/>
              <w:rPr>
                <w:szCs w:val="24"/>
              </w:rPr>
            </w:pPr>
            <w:r w:rsidRPr="00FD79E2">
              <w:rPr>
                <w:szCs w:val="24"/>
              </w:rPr>
              <w:t>Food/Beverage that contains the allergen</w:t>
            </w:r>
            <w:r>
              <w:rPr>
                <w:szCs w:val="24"/>
              </w:rPr>
              <w:t>…</w:t>
            </w:r>
          </w:p>
        </w:tc>
        <w:tc>
          <w:tcPr>
            <w:tcW w:w="3192" w:type="dxa"/>
          </w:tcPr>
          <w:p w:rsidR="00FD79E2" w:rsidRPr="00FD79E2" w:rsidRDefault="00FD79E2" w:rsidP="00FD79E2">
            <w:pPr>
              <w:pStyle w:val="NoSpacing"/>
              <w:jc w:val="center"/>
              <w:rPr>
                <w:szCs w:val="24"/>
              </w:rPr>
            </w:pPr>
            <w:r w:rsidRPr="00FD79E2">
              <w:rPr>
                <w:szCs w:val="24"/>
              </w:rPr>
              <w:t>Substitute food/beverage that does not contain the allergen</w:t>
            </w:r>
            <w:r>
              <w:rPr>
                <w:szCs w:val="24"/>
              </w:rPr>
              <w:t>…</w:t>
            </w:r>
          </w:p>
        </w:tc>
      </w:tr>
      <w:tr w:rsidR="00FD79E2" w:rsidTr="00FD79E2">
        <w:tc>
          <w:tcPr>
            <w:tcW w:w="2518" w:type="dxa"/>
          </w:tcPr>
          <w:p w:rsidR="00FD79E2" w:rsidRDefault="00815241">
            <w:pPr>
              <w:rPr>
                <w:sz w:val="24"/>
                <w:szCs w:val="24"/>
              </w:rPr>
            </w:pPr>
            <w:r>
              <w:rPr>
                <w:sz w:val="24"/>
                <w:szCs w:val="24"/>
              </w:rPr>
              <w:t>-</w:t>
            </w:r>
          </w:p>
        </w:tc>
        <w:tc>
          <w:tcPr>
            <w:tcW w:w="3866" w:type="dxa"/>
          </w:tcPr>
          <w:p w:rsidR="00FD79E2" w:rsidRDefault="00815241">
            <w:pPr>
              <w:rPr>
                <w:sz w:val="24"/>
                <w:szCs w:val="24"/>
              </w:rPr>
            </w:pPr>
            <w:r>
              <w:rPr>
                <w:sz w:val="24"/>
                <w:szCs w:val="24"/>
              </w:rPr>
              <w:t>-</w:t>
            </w:r>
          </w:p>
          <w:p w:rsidR="00815241" w:rsidRDefault="00815241">
            <w:pPr>
              <w:rPr>
                <w:sz w:val="24"/>
                <w:szCs w:val="24"/>
              </w:rPr>
            </w:pPr>
            <w:r>
              <w:rPr>
                <w:sz w:val="24"/>
                <w:szCs w:val="24"/>
              </w:rPr>
              <w:t>-</w:t>
            </w:r>
          </w:p>
        </w:tc>
        <w:tc>
          <w:tcPr>
            <w:tcW w:w="3192" w:type="dxa"/>
          </w:tcPr>
          <w:p w:rsidR="00FD79E2" w:rsidRDefault="00815241">
            <w:pPr>
              <w:rPr>
                <w:sz w:val="24"/>
                <w:szCs w:val="24"/>
              </w:rPr>
            </w:pPr>
            <w:r>
              <w:rPr>
                <w:sz w:val="24"/>
                <w:szCs w:val="24"/>
              </w:rPr>
              <w:t>-</w:t>
            </w:r>
          </w:p>
          <w:p w:rsidR="00815241" w:rsidRDefault="00815241">
            <w:pPr>
              <w:rPr>
                <w:sz w:val="24"/>
                <w:szCs w:val="24"/>
              </w:rPr>
            </w:pPr>
            <w:r>
              <w:rPr>
                <w:sz w:val="24"/>
                <w:szCs w:val="24"/>
              </w:rPr>
              <w:t>-</w:t>
            </w:r>
          </w:p>
        </w:tc>
      </w:tr>
      <w:tr w:rsidR="00FD79E2" w:rsidTr="00FD79E2">
        <w:tc>
          <w:tcPr>
            <w:tcW w:w="2518" w:type="dxa"/>
          </w:tcPr>
          <w:p w:rsidR="00FD79E2" w:rsidRDefault="00815241">
            <w:pPr>
              <w:rPr>
                <w:sz w:val="24"/>
                <w:szCs w:val="24"/>
              </w:rPr>
            </w:pPr>
            <w:r>
              <w:rPr>
                <w:sz w:val="24"/>
                <w:szCs w:val="24"/>
              </w:rPr>
              <w:t>-</w:t>
            </w:r>
          </w:p>
        </w:tc>
        <w:tc>
          <w:tcPr>
            <w:tcW w:w="3866" w:type="dxa"/>
          </w:tcPr>
          <w:p w:rsidR="00FD79E2" w:rsidRDefault="00815241">
            <w:pPr>
              <w:rPr>
                <w:sz w:val="24"/>
                <w:szCs w:val="24"/>
              </w:rPr>
            </w:pPr>
            <w:r>
              <w:rPr>
                <w:sz w:val="24"/>
                <w:szCs w:val="24"/>
              </w:rPr>
              <w:t>-</w:t>
            </w:r>
          </w:p>
          <w:p w:rsidR="00815241" w:rsidRDefault="00815241">
            <w:pPr>
              <w:rPr>
                <w:sz w:val="24"/>
                <w:szCs w:val="24"/>
              </w:rPr>
            </w:pPr>
            <w:r>
              <w:rPr>
                <w:sz w:val="24"/>
                <w:szCs w:val="24"/>
              </w:rPr>
              <w:t>-</w:t>
            </w:r>
          </w:p>
        </w:tc>
        <w:tc>
          <w:tcPr>
            <w:tcW w:w="3192" w:type="dxa"/>
          </w:tcPr>
          <w:p w:rsidR="00FD79E2" w:rsidRDefault="00815241">
            <w:pPr>
              <w:rPr>
                <w:sz w:val="24"/>
                <w:szCs w:val="24"/>
              </w:rPr>
            </w:pPr>
            <w:r>
              <w:rPr>
                <w:sz w:val="24"/>
                <w:szCs w:val="24"/>
              </w:rPr>
              <w:t>-</w:t>
            </w:r>
          </w:p>
          <w:p w:rsidR="00815241" w:rsidRDefault="00815241">
            <w:pPr>
              <w:rPr>
                <w:sz w:val="24"/>
                <w:szCs w:val="24"/>
              </w:rPr>
            </w:pPr>
            <w:r>
              <w:rPr>
                <w:sz w:val="24"/>
                <w:szCs w:val="24"/>
              </w:rPr>
              <w:t>-</w:t>
            </w:r>
          </w:p>
        </w:tc>
      </w:tr>
      <w:tr w:rsidR="00815241" w:rsidTr="00FD79E2">
        <w:tc>
          <w:tcPr>
            <w:tcW w:w="2518" w:type="dxa"/>
          </w:tcPr>
          <w:p w:rsidR="00815241" w:rsidRDefault="00815241">
            <w:pPr>
              <w:rPr>
                <w:sz w:val="24"/>
                <w:szCs w:val="24"/>
              </w:rPr>
            </w:pPr>
            <w:r>
              <w:rPr>
                <w:sz w:val="24"/>
                <w:szCs w:val="24"/>
              </w:rPr>
              <w:t>-</w:t>
            </w:r>
          </w:p>
        </w:tc>
        <w:tc>
          <w:tcPr>
            <w:tcW w:w="3866" w:type="dxa"/>
          </w:tcPr>
          <w:p w:rsidR="00815241" w:rsidRDefault="00815241" w:rsidP="00815241">
            <w:pPr>
              <w:rPr>
                <w:sz w:val="24"/>
                <w:szCs w:val="24"/>
              </w:rPr>
            </w:pPr>
            <w:r>
              <w:rPr>
                <w:sz w:val="24"/>
                <w:szCs w:val="24"/>
              </w:rPr>
              <w:t>-</w:t>
            </w:r>
          </w:p>
          <w:p w:rsidR="00815241" w:rsidRDefault="00815241" w:rsidP="00815241">
            <w:pPr>
              <w:rPr>
                <w:sz w:val="24"/>
                <w:szCs w:val="24"/>
              </w:rPr>
            </w:pPr>
            <w:r>
              <w:rPr>
                <w:sz w:val="24"/>
                <w:szCs w:val="24"/>
              </w:rPr>
              <w:t>-</w:t>
            </w:r>
          </w:p>
        </w:tc>
        <w:tc>
          <w:tcPr>
            <w:tcW w:w="3192" w:type="dxa"/>
          </w:tcPr>
          <w:p w:rsidR="00815241" w:rsidRDefault="00815241" w:rsidP="00815241">
            <w:pPr>
              <w:rPr>
                <w:sz w:val="24"/>
                <w:szCs w:val="24"/>
              </w:rPr>
            </w:pPr>
            <w:r>
              <w:rPr>
                <w:sz w:val="24"/>
                <w:szCs w:val="24"/>
              </w:rPr>
              <w:t>-</w:t>
            </w:r>
          </w:p>
          <w:p w:rsidR="00815241" w:rsidRDefault="00815241" w:rsidP="00815241">
            <w:pPr>
              <w:rPr>
                <w:sz w:val="24"/>
                <w:szCs w:val="24"/>
              </w:rPr>
            </w:pPr>
            <w:r>
              <w:rPr>
                <w:sz w:val="24"/>
                <w:szCs w:val="24"/>
              </w:rPr>
              <w:t>-</w:t>
            </w:r>
          </w:p>
        </w:tc>
      </w:tr>
    </w:tbl>
    <w:p w:rsidR="00FD79E2" w:rsidRPr="00E8255C" w:rsidRDefault="00FD79E2">
      <w:pPr>
        <w:rPr>
          <w:sz w:val="24"/>
          <w:szCs w:val="24"/>
        </w:rPr>
      </w:pPr>
    </w:p>
    <w:p w:rsidR="00FD79E2" w:rsidRPr="00E8255C" w:rsidRDefault="00467127">
      <w:pPr>
        <w:rPr>
          <w:sz w:val="24"/>
          <w:szCs w:val="24"/>
        </w:rPr>
      </w:pPr>
      <w:r>
        <w:rPr>
          <w:sz w:val="24"/>
          <w:szCs w:val="24"/>
        </w:rPr>
        <w:t>Submit</w:t>
      </w:r>
      <w:r w:rsidR="00244421">
        <w:rPr>
          <w:sz w:val="24"/>
          <w:szCs w:val="24"/>
        </w:rPr>
        <w:t xml:space="preserve"> a </w:t>
      </w:r>
      <w:r w:rsidR="00815241">
        <w:rPr>
          <w:sz w:val="24"/>
          <w:szCs w:val="24"/>
        </w:rPr>
        <w:t>rec</w:t>
      </w:r>
      <w:r w:rsidR="00244421">
        <w:rPr>
          <w:sz w:val="24"/>
          <w:szCs w:val="24"/>
        </w:rPr>
        <w:t>ipe that the Lunch Lady could alter</w:t>
      </w:r>
      <w:r w:rsidR="00815241">
        <w:rPr>
          <w:sz w:val="24"/>
          <w:szCs w:val="24"/>
        </w:rPr>
        <w:t xml:space="preserve"> to show the before (with the allergen) and after (without the allergen).  The recipe must comply with PPM150. </w:t>
      </w:r>
    </w:p>
    <w:p w:rsidR="00815241" w:rsidRDefault="00815241">
      <w:pPr>
        <w:rPr>
          <w:sz w:val="24"/>
          <w:szCs w:val="24"/>
        </w:rPr>
      </w:pPr>
    </w:p>
    <w:p w:rsidR="00467127" w:rsidRDefault="00467127">
      <w:pPr>
        <w:rPr>
          <w:rFonts w:ascii="Arial" w:hAnsi="Arial" w:cs="Arial"/>
          <w:b/>
          <w:sz w:val="24"/>
          <w:szCs w:val="24"/>
        </w:rPr>
      </w:pPr>
    </w:p>
    <w:p w:rsidR="00467127" w:rsidRDefault="00467127">
      <w:pPr>
        <w:rPr>
          <w:rFonts w:ascii="Arial" w:hAnsi="Arial" w:cs="Arial"/>
          <w:b/>
          <w:sz w:val="24"/>
          <w:szCs w:val="24"/>
        </w:rPr>
      </w:pPr>
    </w:p>
    <w:p w:rsidR="00815241" w:rsidRPr="00467127" w:rsidRDefault="00815241">
      <w:pPr>
        <w:rPr>
          <w:rFonts w:ascii="Arial" w:hAnsi="Arial" w:cs="Arial"/>
          <w:b/>
          <w:sz w:val="24"/>
          <w:szCs w:val="24"/>
        </w:rPr>
      </w:pPr>
      <w:r>
        <w:rPr>
          <w:rFonts w:ascii="Arial" w:hAnsi="Arial" w:cs="Arial"/>
          <w:b/>
          <w:sz w:val="24"/>
          <w:szCs w:val="24"/>
        </w:rPr>
        <w:lastRenderedPageBreak/>
        <w:t xml:space="preserve">Option 3:  </w:t>
      </w:r>
      <w:r w:rsidR="006D66B9" w:rsidRPr="00815241">
        <w:rPr>
          <w:rFonts w:ascii="Arial" w:hAnsi="Arial" w:cs="Arial"/>
          <w:b/>
          <w:sz w:val="24"/>
          <w:szCs w:val="24"/>
        </w:rPr>
        <w:t xml:space="preserve"> Design a vending machine</w:t>
      </w:r>
    </w:p>
    <w:p w:rsidR="00467127" w:rsidRDefault="00815241">
      <w:pPr>
        <w:rPr>
          <w:sz w:val="24"/>
          <w:szCs w:val="24"/>
        </w:rPr>
      </w:pPr>
      <w:r>
        <w:rPr>
          <w:sz w:val="24"/>
          <w:szCs w:val="24"/>
        </w:rPr>
        <w:t>The Lunch L</w:t>
      </w:r>
      <w:r w:rsidR="006D66B9" w:rsidRPr="00E8255C">
        <w:rPr>
          <w:sz w:val="24"/>
          <w:szCs w:val="24"/>
        </w:rPr>
        <w:t>a</w:t>
      </w:r>
      <w:r>
        <w:rPr>
          <w:sz w:val="24"/>
          <w:szCs w:val="24"/>
        </w:rPr>
        <w:t>dy has received the contract to fill the</w:t>
      </w:r>
      <w:r w:rsidR="006D66B9" w:rsidRPr="00E8255C">
        <w:rPr>
          <w:sz w:val="24"/>
          <w:szCs w:val="24"/>
        </w:rPr>
        <w:t xml:space="preserve"> school vending machines. </w:t>
      </w:r>
      <w:r>
        <w:rPr>
          <w:sz w:val="24"/>
          <w:szCs w:val="24"/>
        </w:rPr>
        <w:t xml:space="preserve">Part of the </w:t>
      </w:r>
      <w:r w:rsidR="006D66B9" w:rsidRPr="00E8255C">
        <w:rPr>
          <w:sz w:val="24"/>
          <w:szCs w:val="24"/>
        </w:rPr>
        <w:t>vending machine will be refri</w:t>
      </w:r>
      <w:r w:rsidR="00244421">
        <w:rPr>
          <w:sz w:val="24"/>
          <w:szCs w:val="24"/>
        </w:rPr>
        <w:t>gerated for beverages. Another</w:t>
      </w:r>
      <w:r w:rsidR="006D66B9" w:rsidRPr="00E8255C">
        <w:rPr>
          <w:sz w:val="24"/>
          <w:szCs w:val="24"/>
        </w:rPr>
        <w:t xml:space="preserve"> </w:t>
      </w:r>
      <w:r w:rsidR="00244421">
        <w:rPr>
          <w:sz w:val="24"/>
          <w:szCs w:val="24"/>
        </w:rPr>
        <w:t xml:space="preserve">section is </w:t>
      </w:r>
      <w:r>
        <w:rPr>
          <w:sz w:val="24"/>
          <w:szCs w:val="24"/>
        </w:rPr>
        <w:t xml:space="preserve">for snacks and it will not be refrigerated.  </w:t>
      </w:r>
      <w:r w:rsidR="006D66B9" w:rsidRPr="00E8255C">
        <w:rPr>
          <w:sz w:val="24"/>
          <w:szCs w:val="24"/>
        </w:rPr>
        <w:t>Survey your classm</w:t>
      </w:r>
      <w:r>
        <w:rPr>
          <w:sz w:val="24"/>
          <w:szCs w:val="24"/>
        </w:rPr>
        <w:t xml:space="preserve">ates to </w:t>
      </w:r>
      <w:r w:rsidR="006D66B9" w:rsidRPr="00E8255C">
        <w:rPr>
          <w:sz w:val="24"/>
          <w:szCs w:val="24"/>
        </w:rPr>
        <w:t>determine what type of snacks and beverages would be popular. Choose 3 beverages an</w:t>
      </w:r>
      <w:r>
        <w:rPr>
          <w:sz w:val="24"/>
          <w:szCs w:val="24"/>
        </w:rPr>
        <w:t>d 3 foods to be sold in the PPM</w:t>
      </w:r>
      <w:r w:rsidR="006D66B9" w:rsidRPr="00E8255C">
        <w:rPr>
          <w:sz w:val="24"/>
          <w:szCs w:val="24"/>
        </w:rPr>
        <w:t>150 compliant machine</w:t>
      </w:r>
      <w:r>
        <w:rPr>
          <w:sz w:val="24"/>
          <w:szCs w:val="24"/>
        </w:rPr>
        <w:t>s</w:t>
      </w:r>
      <w:r w:rsidR="006D66B9" w:rsidRPr="00E8255C">
        <w:rPr>
          <w:sz w:val="24"/>
          <w:szCs w:val="24"/>
        </w:rPr>
        <w:t xml:space="preserve">. </w:t>
      </w:r>
    </w:p>
    <w:p w:rsidR="00467127" w:rsidRDefault="00467127">
      <w:pPr>
        <w:rPr>
          <w:sz w:val="24"/>
          <w:szCs w:val="24"/>
        </w:rPr>
      </w:pPr>
    </w:p>
    <w:p w:rsidR="006D66B9" w:rsidRDefault="006D66B9">
      <w:pPr>
        <w:rPr>
          <w:sz w:val="24"/>
          <w:szCs w:val="24"/>
        </w:rPr>
      </w:pPr>
      <w:r w:rsidRPr="00E8255C">
        <w:rPr>
          <w:sz w:val="24"/>
          <w:szCs w:val="24"/>
        </w:rPr>
        <w:t xml:space="preserve">Create a </w:t>
      </w:r>
      <w:proofErr w:type="spellStart"/>
      <w:proofErr w:type="gramStart"/>
      <w:r w:rsidRPr="00E8255C">
        <w:rPr>
          <w:sz w:val="24"/>
          <w:szCs w:val="24"/>
        </w:rPr>
        <w:t>bristol</w:t>
      </w:r>
      <w:proofErr w:type="spellEnd"/>
      <w:proofErr w:type="gramEnd"/>
      <w:r w:rsidRPr="00E8255C">
        <w:rPr>
          <w:sz w:val="24"/>
          <w:szCs w:val="24"/>
        </w:rPr>
        <w:t xml:space="preserve"> board vendi</w:t>
      </w:r>
      <w:r w:rsidR="00815241">
        <w:rPr>
          <w:sz w:val="24"/>
          <w:szCs w:val="24"/>
        </w:rPr>
        <w:t>ng machine with the product labe</w:t>
      </w:r>
      <w:r w:rsidRPr="00E8255C">
        <w:rPr>
          <w:sz w:val="24"/>
          <w:szCs w:val="24"/>
        </w:rPr>
        <w:t>l</w:t>
      </w:r>
      <w:r w:rsidR="00815241">
        <w:rPr>
          <w:sz w:val="24"/>
          <w:szCs w:val="24"/>
        </w:rPr>
        <w:t>s</w:t>
      </w:r>
      <w:r w:rsidRPr="00E8255C">
        <w:rPr>
          <w:sz w:val="24"/>
          <w:szCs w:val="24"/>
        </w:rPr>
        <w:t xml:space="preserve"> and nutrition fa</w:t>
      </w:r>
      <w:r w:rsidR="00815241">
        <w:rPr>
          <w:sz w:val="24"/>
          <w:szCs w:val="24"/>
        </w:rPr>
        <w:t>cts neatly displayed for each item (3 beverages and 3 snacks)</w:t>
      </w:r>
      <w:r w:rsidR="00467127">
        <w:rPr>
          <w:sz w:val="24"/>
          <w:szCs w:val="24"/>
        </w:rPr>
        <w:t>.</w:t>
      </w:r>
    </w:p>
    <w:p w:rsidR="00467127" w:rsidRDefault="00467127">
      <w:pPr>
        <w:rPr>
          <w:sz w:val="24"/>
          <w:szCs w:val="24"/>
        </w:rPr>
      </w:pPr>
    </w:p>
    <w:p w:rsidR="006D66B9" w:rsidRPr="00E8255C" w:rsidRDefault="006D66B9">
      <w:pPr>
        <w:rPr>
          <w:sz w:val="24"/>
          <w:szCs w:val="24"/>
        </w:rPr>
      </w:pPr>
    </w:p>
    <w:p w:rsidR="006D66B9" w:rsidRPr="00467127" w:rsidRDefault="00467127">
      <w:pPr>
        <w:rPr>
          <w:rFonts w:ascii="Arial" w:hAnsi="Arial" w:cs="Arial"/>
          <w:b/>
          <w:sz w:val="24"/>
          <w:szCs w:val="24"/>
        </w:rPr>
      </w:pPr>
      <w:r>
        <w:rPr>
          <w:rFonts w:ascii="Arial" w:hAnsi="Arial" w:cs="Arial"/>
          <w:b/>
          <w:sz w:val="24"/>
          <w:szCs w:val="24"/>
        </w:rPr>
        <w:t>Option 4:   Social Media Campaign</w:t>
      </w:r>
      <w:r w:rsidR="006D66B9" w:rsidRPr="00467127">
        <w:rPr>
          <w:rFonts w:ascii="Arial" w:hAnsi="Arial" w:cs="Arial"/>
          <w:b/>
          <w:sz w:val="24"/>
          <w:szCs w:val="24"/>
        </w:rPr>
        <w:t xml:space="preserve"> </w:t>
      </w:r>
    </w:p>
    <w:p w:rsidR="006D66B9" w:rsidRPr="00E8255C" w:rsidRDefault="006D66B9">
      <w:pPr>
        <w:rPr>
          <w:sz w:val="24"/>
          <w:szCs w:val="24"/>
        </w:rPr>
      </w:pPr>
      <w:r w:rsidRPr="00E8255C">
        <w:rPr>
          <w:sz w:val="24"/>
          <w:szCs w:val="24"/>
        </w:rPr>
        <w:t xml:space="preserve">The lunch lady wants to reach her customers using social media and now you can follow her on </w:t>
      </w:r>
      <w:proofErr w:type="spellStart"/>
      <w:r w:rsidRPr="00E8255C">
        <w:rPr>
          <w:sz w:val="24"/>
          <w:szCs w:val="24"/>
        </w:rPr>
        <w:t>Facebook</w:t>
      </w:r>
      <w:proofErr w:type="spellEnd"/>
      <w:r w:rsidRPr="00E8255C">
        <w:rPr>
          <w:sz w:val="24"/>
          <w:szCs w:val="24"/>
        </w:rPr>
        <w:t xml:space="preserve"> and twitter. You have noticed that students are tweeting about the food</w:t>
      </w:r>
      <w:r w:rsidR="00244421">
        <w:rPr>
          <w:sz w:val="24"/>
          <w:szCs w:val="24"/>
        </w:rPr>
        <w:t xml:space="preserve"> that is available</w:t>
      </w:r>
      <w:r w:rsidRPr="00E8255C">
        <w:rPr>
          <w:sz w:val="24"/>
          <w:szCs w:val="24"/>
        </w:rPr>
        <w:t xml:space="preserve"> </w:t>
      </w:r>
      <w:r w:rsidR="00244421">
        <w:rPr>
          <w:sz w:val="24"/>
          <w:szCs w:val="24"/>
        </w:rPr>
        <w:t xml:space="preserve">at </w:t>
      </w:r>
      <w:r w:rsidRPr="00E8255C">
        <w:rPr>
          <w:sz w:val="24"/>
          <w:szCs w:val="24"/>
        </w:rPr>
        <w:t>local plaza and she's co</w:t>
      </w:r>
      <w:r w:rsidR="00244421">
        <w:rPr>
          <w:sz w:val="24"/>
          <w:szCs w:val="24"/>
        </w:rPr>
        <w:t xml:space="preserve">ncerned about losing customers and the health of her students.  </w:t>
      </w:r>
    </w:p>
    <w:p w:rsidR="00244421" w:rsidRDefault="00244421">
      <w:pPr>
        <w:rPr>
          <w:sz w:val="24"/>
          <w:szCs w:val="24"/>
        </w:rPr>
      </w:pPr>
    </w:p>
    <w:p w:rsidR="006D66B9" w:rsidRDefault="00467127">
      <w:pPr>
        <w:rPr>
          <w:sz w:val="24"/>
          <w:szCs w:val="24"/>
        </w:rPr>
      </w:pPr>
      <w:r>
        <w:rPr>
          <w:sz w:val="24"/>
          <w:szCs w:val="24"/>
        </w:rPr>
        <w:t xml:space="preserve">Create a communication campaign plan that uses social media to connect your peers to the issue of healthy eating in support of PPM150.   Submit a paper copy of your campaign.  </w:t>
      </w:r>
      <w:r w:rsidR="00244421">
        <w:rPr>
          <w:sz w:val="24"/>
          <w:szCs w:val="24"/>
        </w:rPr>
        <w:t xml:space="preserve"> </w:t>
      </w:r>
    </w:p>
    <w:p w:rsidR="00467127" w:rsidRDefault="00467127">
      <w:pPr>
        <w:rPr>
          <w:sz w:val="24"/>
          <w:szCs w:val="24"/>
        </w:rPr>
      </w:pPr>
    </w:p>
    <w:p w:rsidR="00467127" w:rsidRDefault="00467127">
      <w:pPr>
        <w:rPr>
          <w:sz w:val="24"/>
          <w:szCs w:val="24"/>
        </w:rPr>
      </w:pPr>
    </w:p>
    <w:p w:rsidR="00467127" w:rsidRDefault="00467127">
      <w:pPr>
        <w:rPr>
          <w:sz w:val="24"/>
          <w:szCs w:val="24"/>
        </w:rPr>
      </w:pPr>
    </w:p>
    <w:p w:rsidR="00467127" w:rsidRDefault="00467127">
      <w:pPr>
        <w:rPr>
          <w:sz w:val="24"/>
          <w:szCs w:val="24"/>
        </w:rPr>
      </w:pPr>
    </w:p>
    <w:p w:rsidR="00467127" w:rsidRPr="00467127" w:rsidRDefault="00467127" w:rsidP="00467127">
      <w:pPr>
        <w:pStyle w:val="Heading2"/>
        <w:jc w:val="center"/>
        <w:rPr>
          <w:rFonts w:ascii="Arial" w:hAnsi="Arial" w:cs="Arial"/>
        </w:rPr>
      </w:pPr>
      <w:r>
        <w:rPr>
          <w:rFonts w:ascii="Arial" w:hAnsi="Arial" w:cs="Arial"/>
        </w:rPr>
        <w:t>The Lunch Lady – Culminating Activities</w:t>
      </w:r>
    </w:p>
    <w:p w:rsidR="00467127" w:rsidRDefault="00467127">
      <w:pPr>
        <w:rPr>
          <w:sz w:val="24"/>
          <w:szCs w:val="24"/>
        </w:rPr>
      </w:pPr>
    </w:p>
    <w:tbl>
      <w:tblPr>
        <w:tblStyle w:val="TableGrid"/>
        <w:tblW w:w="0" w:type="auto"/>
        <w:tblLook w:val="04A0"/>
      </w:tblPr>
      <w:tblGrid>
        <w:gridCol w:w="2014"/>
        <w:gridCol w:w="2015"/>
        <w:gridCol w:w="2015"/>
        <w:gridCol w:w="2015"/>
        <w:gridCol w:w="2015"/>
      </w:tblGrid>
      <w:tr w:rsidR="00467127" w:rsidTr="00467127">
        <w:tc>
          <w:tcPr>
            <w:tcW w:w="2014" w:type="dxa"/>
          </w:tcPr>
          <w:p w:rsidR="00565022" w:rsidRPr="00565022" w:rsidRDefault="00467127" w:rsidP="00565022">
            <w:pPr>
              <w:jc w:val="center"/>
              <w:rPr>
                <w:b/>
                <w:sz w:val="28"/>
                <w:szCs w:val="28"/>
              </w:rPr>
            </w:pPr>
            <w:r w:rsidRPr="00565022">
              <w:rPr>
                <w:b/>
                <w:sz w:val="28"/>
                <w:szCs w:val="28"/>
              </w:rPr>
              <w:t>Criteria</w:t>
            </w:r>
          </w:p>
        </w:tc>
        <w:tc>
          <w:tcPr>
            <w:tcW w:w="2015" w:type="dxa"/>
          </w:tcPr>
          <w:p w:rsidR="00467127" w:rsidRPr="00565022" w:rsidRDefault="00467127" w:rsidP="00565022">
            <w:pPr>
              <w:jc w:val="center"/>
              <w:rPr>
                <w:b/>
                <w:sz w:val="28"/>
                <w:szCs w:val="28"/>
              </w:rPr>
            </w:pPr>
            <w:r w:rsidRPr="00565022">
              <w:rPr>
                <w:b/>
                <w:sz w:val="28"/>
                <w:szCs w:val="28"/>
              </w:rPr>
              <w:t>Level 1</w:t>
            </w:r>
          </w:p>
        </w:tc>
        <w:tc>
          <w:tcPr>
            <w:tcW w:w="2015" w:type="dxa"/>
          </w:tcPr>
          <w:p w:rsidR="00467127" w:rsidRPr="00565022" w:rsidRDefault="00467127" w:rsidP="00565022">
            <w:pPr>
              <w:jc w:val="center"/>
              <w:rPr>
                <w:b/>
                <w:sz w:val="28"/>
                <w:szCs w:val="28"/>
              </w:rPr>
            </w:pPr>
            <w:r w:rsidRPr="00565022">
              <w:rPr>
                <w:b/>
                <w:sz w:val="28"/>
                <w:szCs w:val="28"/>
              </w:rPr>
              <w:t>Level 2</w:t>
            </w:r>
          </w:p>
        </w:tc>
        <w:tc>
          <w:tcPr>
            <w:tcW w:w="2015" w:type="dxa"/>
          </w:tcPr>
          <w:p w:rsidR="00467127" w:rsidRPr="00565022" w:rsidRDefault="00467127" w:rsidP="00565022">
            <w:pPr>
              <w:jc w:val="center"/>
              <w:rPr>
                <w:b/>
                <w:sz w:val="28"/>
                <w:szCs w:val="28"/>
              </w:rPr>
            </w:pPr>
            <w:r w:rsidRPr="00565022">
              <w:rPr>
                <w:b/>
                <w:sz w:val="28"/>
                <w:szCs w:val="28"/>
              </w:rPr>
              <w:t>Level 3</w:t>
            </w:r>
          </w:p>
        </w:tc>
        <w:tc>
          <w:tcPr>
            <w:tcW w:w="2015" w:type="dxa"/>
          </w:tcPr>
          <w:p w:rsidR="00467127" w:rsidRPr="00565022" w:rsidRDefault="00467127" w:rsidP="00565022">
            <w:pPr>
              <w:jc w:val="center"/>
              <w:rPr>
                <w:b/>
                <w:sz w:val="28"/>
                <w:szCs w:val="28"/>
              </w:rPr>
            </w:pPr>
            <w:r w:rsidRPr="00565022">
              <w:rPr>
                <w:b/>
                <w:sz w:val="28"/>
                <w:szCs w:val="28"/>
              </w:rPr>
              <w:t>Level 4</w:t>
            </w:r>
          </w:p>
        </w:tc>
      </w:tr>
      <w:tr w:rsidR="00467127" w:rsidTr="000E5C04">
        <w:tc>
          <w:tcPr>
            <w:tcW w:w="2014" w:type="dxa"/>
          </w:tcPr>
          <w:p w:rsidR="00467127" w:rsidRPr="00CB4037" w:rsidRDefault="00565022">
            <w:pPr>
              <w:rPr>
                <w:b/>
                <w:sz w:val="24"/>
                <w:szCs w:val="24"/>
              </w:rPr>
            </w:pPr>
            <w:r w:rsidRPr="00CB4037">
              <w:rPr>
                <w:b/>
                <w:sz w:val="24"/>
                <w:szCs w:val="24"/>
              </w:rPr>
              <w:t>Knowledge of facts and terms related to nutrition</w:t>
            </w:r>
          </w:p>
        </w:tc>
        <w:tc>
          <w:tcPr>
            <w:tcW w:w="2015" w:type="dxa"/>
            <w:vAlign w:val="center"/>
          </w:tcPr>
          <w:p w:rsidR="00467127" w:rsidRPr="000E5C04" w:rsidRDefault="00565022" w:rsidP="000E5C04">
            <w:r w:rsidRPr="000E5C04">
              <w:t>-demonstrates limited knowledge of facts and terms</w:t>
            </w:r>
          </w:p>
        </w:tc>
        <w:tc>
          <w:tcPr>
            <w:tcW w:w="2015" w:type="dxa"/>
            <w:vAlign w:val="center"/>
          </w:tcPr>
          <w:p w:rsidR="00467127" w:rsidRPr="000E5C04" w:rsidRDefault="00565022" w:rsidP="000E5C04">
            <w:r w:rsidRPr="000E5C04">
              <w:t>-demonstrates some knowledge of facts and terms</w:t>
            </w:r>
          </w:p>
        </w:tc>
        <w:tc>
          <w:tcPr>
            <w:tcW w:w="2015" w:type="dxa"/>
            <w:vAlign w:val="center"/>
          </w:tcPr>
          <w:p w:rsidR="00467127" w:rsidRPr="000E5C04" w:rsidRDefault="00565022" w:rsidP="000E5C04">
            <w:r w:rsidRPr="000E5C04">
              <w:t>-demonstrates considerable knowledge of facts and terms</w:t>
            </w:r>
          </w:p>
        </w:tc>
        <w:tc>
          <w:tcPr>
            <w:tcW w:w="2015" w:type="dxa"/>
            <w:vAlign w:val="center"/>
          </w:tcPr>
          <w:p w:rsidR="00467127" w:rsidRPr="000E5C04" w:rsidRDefault="00565022" w:rsidP="000E5C04">
            <w:r w:rsidRPr="000E5C04">
              <w:t>-demonstrates thorough knowledge of facts and terms</w:t>
            </w:r>
          </w:p>
        </w:tc>
      </w:tr>
      <w:tr w:rsidR="00565022" w:rsidTr="000E5C04">
        <w:tc>
          <w:tcPr>
            <w:tcW w:w="2014" w:type="dxa"/>
          </w:tcPr>
          <w:p w:rsidR="00565022" w:rsidRPr="00CB4037" w:rsidRDefault="00565022">
            <w:pPr>
              <w:rPr>
                <w:b/>
                <w:sz w:val="24"/>
                <w:szCs w:val="24"/>
              </w:rPr>
            </w:pPr>
            <w:r w:rsidRPr="00CB4037">
              <w:rPr>
                <w:b/>
                <w:sz w:val="24"/>
                <w:szCs w:val="24"/>
              </w:rPr>
              <w:t>Understanding of PPM150 guidelines</w:t>
            </w:r>
          </w:p>
        </w:tc>
        <w:tc>
          <w:tcPr>
            <w:tcW w:w="2015" w:type="dxa"/>
            <w:vAlign w:val="center"/>
          </w:tcPr>
          <w:p w:rsidR="00565022" w:rsidRPr="000E5C04" w:rsidRDefault="00565022" w:rsidP="000E5C04">
            <w:r w:rsidRPr="000E5C04">
              <w:t>-demonstrates limited knowledge of guidelines</w:t>
            </w:r>
          </w:p>
        </w:tc>
        <w:tc>
          <w:tcPr>
            <w:tcW w:w="2015" w:type="dxa"/>
            <w:vAlign w:val="center"/>
          </w:tcPr>
          <w:p w:rsidR="00565022" w:rsidRPr="000E5C04" w:rsidRDefault="00565022" w:rsidP="000E5C04">
            <w:r w:rsidRPr="000E5C04">
              <w:t>-demonstrates some knowledge of guidelines</w:t>
            </w:r>
          </w:p>
        </w:tc>
        <w:tc>
          <w:tcPr>
            <w:tcW w:w="2015" w:type="dxa"/>
            <w:vAlign w:val="center"/>
          </w:tcPr>
          <w:p w:rsidR="00565022" w:rsidRPr="000E5C04" w:rsidRDefault="00565022" w:rsidP="000E5C04">
            <w:r w:rsidRPr="000E5C04">
              <w:t>-demonstrates considerable knowledge of guidelines</w:t>
            </w:r>
          </w:p>
        </w:tc>
        <w:tc>
          <w:tcPr>
            <w:tcW w:w="2015" w:type="dxa"/>
            <w:vAlign w:val="center"/>
          </w:tcPr>
          <w:p w:rsidR="00565022" w:rsidRPr="000E5C04" w:rsidRDefault="00565022" w:rsidP="000E5C04">
            <w:r w:rsidRPr="000E5C04">
              <w:t>-demonstrates thorough knowledge of guidelines</w:t>
            </w:r>
          </w:p>
        </w:tc>
      </w:tr>
      <w:tr w:rsidR="00565022" w:rsidTr="000E5C04">
        <w:tc>
          <w:tcPr>
            <w:tcW w:w="2014" w:type="dxa"/>
          </w:tcPr>
          <w:p w:rsidR="00565022" w:rsidRDefault="00565022">
            <w:pPr>
              <w:rPr>
                <w:sz w:val="24"/>
                <w:szCs w:val="24"/>
              </w:rPr>
            </w:pPr>
            <w:r w:rsidRPr="00CB4037">
              <w:rPr>
                <w:b/>
                <w:sz w:val="24"/>
                <w:szCs w:val="24"/>
              </w:rPr>
              <w:t>Inquiry skills –</w:t>
            </w:r>
            <w:r>
              <w:rPr>
                <w:sz w:val="24"/>
                <w:szCs w:val="24"/>
              </w:rPr>
              <w:t xml:space="preserve"> </w:t>
            </w:r>
            <w:r w:rsidRPr="00565022">
              <w:rPr>
                <w:sz w:val="16"/>
                <w:szCs w:val="16"/>
              </w:rPr>
              <w:t>planning, selecting strategies and resources, analysing and interpreting information</w:t>
            </w:r>
          </w:p>
        </w:tc>
        <w:tc>
          <w:tcPr>
            <w:tcW w:w="2015" w:type="dxa"/>
            <w:vAlign w:val="center"/>
          </w:tcPr>
          <w:p w:rsidR="00565022" w:rsidRPr="000E5C04" w:rsidRDefault="00CB4037" w:rsidP="000E5C04">
            <w:r w:rsidRPr="000E5C04">
              <w:t>-demonstrates limited evidence of research</w:t>
            </w:r>
          </w:p>
        </w:tc>
        <w:tc>
          <w:tcPr>
            <w:tcW w:w="2015" w:type="dxa"/>
            <w:vAlign w:val="center"/>
          </w:tcPr>
          <w:p w:rsidR="00565022" w:rsidRPr="000E5C04" w:rsidRDefault="00CB4037" w:rsidP="000E5C04">
            <w:r w:rsidRPr="000E5C04">
              <w:t>-demonstrates some evidence of research</w:t>
            </w:r>
          </w:p>
        </w:tc>
        <w:tc>
          <w:tcPr>
            <w:tcW w:w="2015" w:type="dxa"/>
            <w:vAlign w:val="center"/>
          </w:tcPr>
          <w:p w:rsidR="00565022" w:rsidRPr="000E5C04" w:rsidRDefault="00CB4037" w:rsidP="000E5C04">
            <w:r w:rsidRPr="000E5C04">
              <w:t>-demonstrates considerable evidence of research</w:t>
            </w:r>
          </w:p>
        </w:tc>
        <w:tc>
          <w:tcPr>
            <w:tcW w:w="2015" w:type="dxa"/>
            <w:vAlign w:val="center"/>
          </w:tcPr>
          <w:p w:rsidR="00565022" w:rsidRPr="000E5C04" w:rsidRDefault="00CB4037" w:rsidP="000E5C04">
            <w:r w:rsidRPr="000E5C04">
              <w:t>-demonstrates thorough evidence of research</w:t>
            </w:r>
          </w:p>
        </w:tc>
      </w:tr>
      <w:tr w:rsidR="00565022" w:rsidTr="000E5C04">
        <w:tc>
          <w:tcPr>
            <w:tcW w:w="2014" w:type="dxa"/>
          </w:tcPr>
          <w:p w:rsidR="00565022" w:rsidRPr="00CB4037" w:rsidRDefault="00565022">
            <w:pPr>
              <w:rPr>
                <w:b/>
                <w:sz w:val="24"/>
                <w:szCs w:val="24"/>
              </w:rPr>
            </w:pPr>
            <w:r w:rsidRPr="00CB4037">
              <w:rPr>
                <w:b/>
                <w:sz w:val="24"/>
                <w:szCs w:val="24"/>
              </w:rPr>
              <w:t>Communication of information and ideas</w:t>
            </w:r>
          </w:p>
        </w:tc>
        <w:tc>
          <w:tcPr>
            <w:tcW w:w="2015" w:type="dxa"/>
            <w:vAlign w:val="center"/>
          </w:tcPr>
          <w:p w:rsidR="00565022" w:rsidRPr="000E5C04" w:rsidRDefault="00CB4037" w:rsidP="000E5C04">
            <w:r w:rsidRPr="000E5C04">
              <w:t>-communicates information and ideas with limited clarity</w:t>
            </w:r>
          </w:p>
        </w:tc>
        <w:tc>
          <w:tcPr>
            <w:tcW w:w="2015" w:type="dxa"/>
            <w:vAlign w:val="center"/>
          </w:tcPr>
          <w:p w:rsidR="00565022" w:rsidRPr="000E5C04" w:rsidRDefault="00CB4037" w:rsidP="000E5C04">
            <w:r w:rsidRPr="000E5C04">
              <w:t>-communicates information and ideas with some clarity</w:t>
            </w:r>
          </w:p>
        </w:tc>
        <w:tc>
          <w:tcPr>
            <w:tcW w:w="2015" w:type="dxa"/>
            <w:vAlign w:val="center"/>
          </w:tcPr>
          <w:p w:rsidR="00565022" w:rsidRPr="000E5C04" w:rsidRDefault="00CB4037" w:rsidP="000E5C04">
            <w:r w:rsidRPr="000E5C04">
              <w:t>-communicates information and ideas with considerable clarity</w:t>
            </w:r>
          </w:p>
        </w:tc>
        <w:tc>
          <w:tcPr>
            <w:tcW w:w="2015" w:type="dxa"/>
            <w:vAlign w:val="center"/>
          </w:tcPr>
          <w:p w:rsidR="00565022" w:rsidRPr="000E5C04" w:rsidRDefault="00CB4037" w:rsidP="000E5C04">
            <w:r w:rsidRPr="000E5C04">
              <w:t>-communicates information and ideas with thorough clarity</w:t>
            </w:r>
          </w:p>
        </w:tc>
      </w:tr>
      <w:tr w:rsidR="00565022" w:rsidTr="00565022">
        <w:tc>
          <w:tcPr>
            <w:tcW w:w="2014" w:type="dxa"/>
            <w:vAlign w:val="center"/>
          </w:tcPr>
          <w:p w:rsidR="00565022" w:rsidRPr="00565022" w:rsidRDefault="00565022" w:rsidP="00565022">
            <w:pPr>
              <w:jc w:val="right"/>
              <w:rPr>
                <w:b/>
                <w:sz w:val="24"/>
                <w:szCs w:val="24"/>
              </w:rPr>
            </w:pPr>
            <w:r w:rsidRPr="00565022">
              <w:rPr>
                <w:b/>
                <w:sz w:val="24"/>
                <w:szCs w:val="24"/>
              </w:rPr>
              <w:t>Overall Level</w:t>
            </w:r>
          </w:p>
        </w:tc>
        <w:tc>
          <w:tcPr>
            <w:tcW w:w="8060" w:type="dxa"/>
            <w:gridSpan w:val="4"/>
          </w:tcPr>
          <w:p w:rsidR="00565022" w:rsidRDefault="00565022">
            <w:pPr>
              <w:rPr>
                <w:sz w:val="24"/>
                <w:szCs w:val="24"/>
              </w:rPr>
            </w:pPr>
          </w:p>
          <w:p w:rsidR="00565022" w:rsidRDefault="00565022">
            <w:pPr>
              <w:rPr>
                <w:sz w:val="24"/>
                <w:szCs w:val="24"/>
              </w:rPr>
            </w:pPr>
          </w:p>
        </w:tc>
      </w:tr>
    </w:tbl>
    <w:p w:rsidR="00467127" w:rsidRPr="00E8255C" w:rsidRDefault="00467127">
      <w:pPr>
        <w:rPr>
          <w:sz w:val="24"/>
          <w:szCs w:val="24"/>
        </w:rPr>
      </w:pPr>
    </w:p>
    <w:sectPr w:rsidR="00467127" w:rsidRPr="00E8255C" w:rsidSect="00815241">
      <w:pgSz w:w="12240" w:h="15840"/>
      <w:pgMar w:top="794" w:right="1191" w:bottom="851"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211E0"/>
    <w:multiLevelType w:val="hybridMultilevel"/>
    <w:tmpl w:val="21B80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compat/>
  <w:rsids>
    <w:rsidRoot w:val="006D66B9"/>
    <w:rsid w:val="000E5C04"/>
    <w:rsid w:val="001D0971"/>
    <w:rsid w:val="00244421"/>
    <w:rsid w:val="00295AD7"/>
    <w:rsid w:val="00452AC9"/>
    <w:rsid w:val="00467127"/>
    <w:rsid w:val="00565022"/>
    <w:rsid w:val="006D66B9"/>
    <w:rsid w:val="00815241"/>
    <w:rsid w:val="00847BE3"/>
    <w:rsid w:val="00CB4037"/>
    <w:rsid w:val="00FD79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C9"/>
  </w:style>
  <w:style w:type="paragraph" w:styleId="Heading2">
    <w:name w:val="heading 2"/>
    <w:basedOn w:val="Normal"/>
    <w:next w:val="Normal"/>
    <w:link w:val="Heading2Char"/>
    <w:uiPriority w:val="9"/>
    <w:unhideWhenUsed/>
    <w:qFormat/>
    <w:rsid w:val="006D66B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6B9"/>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6D66B9"/>
    <w:rPr>
      <w:color w:val="0000FF" w:themeColor="hyperlink"/>
      <w:u w:val="single"/>
    </w:rPr>
  </w:style>
  <w:style w:type="character" w:styleId="Strong">
    <w:name w:val="Strong"/>
    <w:basedOn w:val="DefaultParagraphFont"/>
    <w:uiPriority w:val="22"/>
    <w:qFormat/>
    <w:rsid w:val="00FD79E2"/>
    <w:rPr>
      <w:b/>
      <w:bCs/>
    </w:rPr>
  </w:style>
  <w:style w:type="character" w:customStyle="1" w:styleId="hilite1">
    <w:name w:val="hilite1"/>
    <w:basedOn w:val="DefaultParagraphFont"/>
    <w:rsid w:val="00FD79E2"/>
  </w:style>
  <w:style w:type="character" w:customStyle="1" w:styleId="hilite2">
    <w:name w:val="hilite2"/>
    <w:basedOn w:val="DefaultParagraphFont"/>
    <w:rsid w:val="00FD79E2"/>
  </w:style>
  <w:style w:type="table" w:styleId="TableGrid">
    <w:name w:val="Table Grid"/>
    <w:basedOn w:val="TableNormal"/>
    <w:uiPriority w:val="59"/>
    <w:rsid w:val="00FD7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79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lunchlad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3860</Characters>
  <Application>Microsoft Office Word</Application>
  <DocSecurity>4</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Lunch Lady – Culminating Activities</vt:lpstr>
      <vt:lpstr>    The Lunch Lady – Culminating Activities</vt:lpstr>
    </vt:vector>
  </TitlesOfParts>
  <Company>Hewlett-Packard Company</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2012-05-27T22:23:00Z</dcterms:created>
  <dcterms:modified xsi:type="dcterms:W3CDTF">2012-05-27T22:23:00Z</dcterms:modified>
</cp:coreProperties>
</file>